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8"/>
          <w:szCs w:val="28"/>
          <w:u w:val="none"/>
        </w:rPr>
      </w:pPr>
      <w:r w:rsidDel="00000000" w:rsidR="00000000" w:rsidRPr="00000000">
        <w:rPr>
          <w:u w:val="none"/>
        </w:rPr>
        <w:drawing>
          <wp:inline distB="0" distT="0" distL="0" distR="0">
            <wp:extent cx="409575" cy="511969"/>
            <wp:effectExtent b="0" l="0" r="0" t="0"/>
            <wp:docPr descr="C:\Users\Майкова\Documents\моё\verhneketskii_rayon_coa.gif" id="1" name="image1.png"/>
            <a:graphic>
              <a:graphicData uri="http://schemas.openxmlformats.org/drawingml/2006/picture">
                <pic:pic>
                  <pic:nvPicPr>
                    <pic:cNvPr descr="C:\Users\Майкова\Documents\моё\verhneketskii_rayon_coa.g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119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u w:val="none"/>
        </w:rPr>
        <w:drawing>
          <wp:inline distB="0" distT="0" distL="0" distR="0">
            <wp:extent cx="1305758" cy="514679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24339" l="48380" r="15572" t="23653"/>
                    <a:stretch>
                      <a:fillRect/>
                    </a:stretch>
                  </pic:blipFill>
                  <pic:spPr>
                    <a:xfrm>
                      <a:off x="0" y="0"/>
                      <a:ext cx="1305758" cy="5146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u w:val="none"/>
        </w:rPr>
        <w:drawing>
          <wp:inline distB="0" distT="0" distL="0" distR="0">
            <wp:extent cx="1520896" cy="465775"/>
            <wp:effectExtent b="0" l="0" r="0" t="0"/>
            <wp:docPr descr="D:\парнер\малая культурная\лого программы.jpg" id="2" name="image2.png"/>
            <a:graphic>
              <a:graphicData uri="http://schemas.openxmlformats.org/drawingml/2006/picture">
                <pic:pic>
                  <pic:nvPicPr>
                    <pic:cNvPr descr="D:\парнер\малая культурная\лого программы.jp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0896" cy="46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u w:val="none"/>
        </w:rPr>
        <w:drawing>
          <wp:inline distB="0" distT="0" distL="0" distR="0">
            <wp:extent cx="1284122" cy="411255"/>
            <wp:effectExtent b="0" l="0" r="0" t="0"/>
            <wp:docPr descr="C:\Users\Майкова\Documents\моё\НКО\Рисунок5.png" id="5" name="image5.png"/>
            <a:graphic>
              <a:graphicData uri="http://schemas.openxmlformats.org/drawingml/2006/picture">
                <pic:pic>
                  <pic:nvPicPr>
                    <pic:cNvPr descr="C:\Users\Майкова\Documents\моё\НКО\Рисунок5.png" id="0" name="image5.png"/>
                    <pic:cNvPicPr preferRelativeResize="0"/>
                  </pic:nvPicPr>
                  <pic:blipFill>
                    <a:blip r:embed="rId9"/>
                    <a:srcRect b="30916" l="13635" r="0" t="24382"/>
                    <a:stretch>
                      <a:fillRect/>
                    </a:stretch>
                  </pic:blipFill>
                  <pic:spPr>
                    <a:xfrm>
                      <a:off x="0" y="0"/>
                      <a:ext cx="1284122" cy="411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u w:val="none"/>
        </w:rPr>
        <w:drawing>
          <wp:inline distB="0" distT="0" distL="0" distR="0">
            <wp:extent cx="808187" cy="479861"/>
            <wp:effectExtent b="0" l="0" r="0" t="0"/>
            <wp:docPr descr="C:\Users\Майкова\Documents\моё\klejmo.png" id="4" name="image4.png"/>
            <a:graphic>
              <a:graphicData uri="http://schemas.openxmlformats.org/drawingml/2006/picture">
                <pic:pic>
                  <pic:nvPicPr>
                    <pic:cNvPr descr="C:\Users\Майкова\Documents\моё\klejmo.png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8187" cy="4798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mbria" w:cs="Cambria" w:eastAsia="Cambria" w:hAnsi="Cambria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ПОЛОЖЕНИE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о конкурсе проектов «Малая культурная мозаика Верхнекетья» </w:t>
      </w:r>
    </w:p>
    <w:p w:rsidR="00000000" w:rsidDel="00000000" w:rsidP="00000000" w:rsidRDefault="00000000" w:rsidRPr="00000000" w14:paraId="00000005">
      <w:pPr>
        <w:spacing w:after="0" w:before="120" w:line="240" w:lineRule="auto"/>
        <w:ind w:firstLine="56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Конкурс  «Малая культурная мозаика Верхнекетья» проводит Муниципальное автономное учреждение «Культура» и Автономная некоммерческая культурно досуговая организация «Смородина». Конкурс проводится на средства Благотворительного фонда «Сибирский»,  Администрации Верхнекетского района и Депутата Законодательной Думы Томской области С.Н.Михайлова.</w:t>
      </w:r>
    </w:p>
    <w:p w:rsidR="00000000" w:rsidDel="00000000" w:rsidP="00000000" w:rsidRDefault="00000000" w:rsidRPr="00000000" w14:paraId="00000006">
      <w:pPr>
        <w:spacing w:after="0" w:before="120" w:line="240" w:lineRule="auto"/>
        <w:ind w:firstLine="567"/>
        <w:jc w:val="both"/>
        <w:rPr>
          <w:rFonts w:ascii="Cambria" w:cs="Cambria" w:eastAsia="Cambria" w:hAnsi="Cambria"/>
          <w:b w:val="1"/>
          <w:color w:val="365f9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65f91"/>
          <w:sz w:val="24"/>
          <w:szCs w:val="24"/>
          <w:rtl w:val="0"/>
        </w:rPr>
        <w:t xml:space="preserve">ЦЕЛЬ КОНКУРСА </w:t>
      </w:r>
    </w:p>
    <w:p w:rsidR="00000000" w:rsidDel="00000000" w:rsidP="00000000" w:rsidRDefault="00000000" w:rsidRPr="00000000" w14:paraId="00000007">
      <w:pPr>
        <w:spacing w:after="0" w:line="240" w:lineRule="auto"/>
        <w:ind w:firstLine="56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повышение уровня участия жителей Верхнекетского района  в социокультурных преобразованиях через поддержку инициатив, направленных на  формирование традиций и укрепление местного сообщества и развитие территории средствами культуры </w:t>
      </w:r>
    </w:p>
    <w:p w:rsidR="00000000" w:rsidDel="00000000" w:rsidP="00000000" w:rsidRDefault="00000000" w:rsidRPr="00000000" w14:paraId="00000008">
      <w:pPr>
        <w:spacing w:after="0" w:before="120" w:line="240" w:lineRule="auto"/>
        <w:ind w:firstLine="567"/>
        <w:jc w:val="both"/>
        <w:rPr>
          <w:rFonts w:ascii="Cambria" w:cs="Cambria" w:eastAsia="Cambria" w:hAnsi="Cambria"/>
          <w:b w:val="1"/>
          <w:color w:val="365f9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65f91"/>
          <w:sz w:val="24"/>
          <w:szCs w:val="24"/>
          <w:rtl w:val="0"/>
        </w:rPr>
        <w:t xml:space="preserve">ГРАНТОВЫЙ ФОНД ФИНАНСИРОВАНИЯ ПРОЕКТОВ КОНКУРСА «МАЛАЯ КУЛЬТУРНАЯ МОЗАИКА ВЕРХНЕКЕТЬЯ»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в Верхнекетском районе Томской области  составляет 300 000 рублей.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567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РАЗМЕР ЦЕЛЕВОГО ПОЖЕРТВОВАНИЯ:</w:t>
      </w:r>
    </w:p>
    <w:p w:rsidR="00000000" w:rsidDel="00000000" w:rsidP="00000000" w:rsidRDefault="00000000" w:rsidRPr="00000000" w14:paraId="0000000A">
      <w:pPr>
        <w:spacing w:after="0" w:line="240" w:lineRule="auto"/>
        <w:ind w:firstLine="567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Минимальный размер – 5000 руб. Максимальный размер – 45 000 рублей.</w:t>
      </w:r>
    </w:p>
    <w:p w:rsidR="00000000" w:rsidDel="00000000" w:rsidP="00000000" w:rsidRDefault="00000000" w:rsidRPr="00000000" w14:paraId="0000000B">
      <w:pPr>
        <w:spacing w:after="0" w:line="240" w:lineRule="auto"/>
        <w:ind w:firstLine="567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ПРОДОЛЖИТЕЛЬНОСТЬ ПРОЕКТОВ:</w:t>
      </w:r>
    </w:p>
    <w:p w:rsidR="00000000" w:rsidDel="00000000" w:rsidP="00000000" w:rsidRDefault="00000000" w:rsidRPr="00000000" w14:paraId="0000000C">
      <w:pPr>
        <w:spacing w:after="0" w:line="240" w:lineRule="auto"/>
        <w:ind w:firstLine="567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Начало реализации не ранее 1 июля 2024г, окончание – не позднее 30 сентября  2024 г.</w:t>
      </w:r>
    </w:p>
    <w:p w:rsidR="00000000" w:rsidDel="00000000" w:rsidP="00000000" w:rsidRDefault="00000000" w:rsidRPr="00000000" w14:paraId="0000000D">
      <w:pPr>
        <w:spacing w:after="0" w:before="120" w:line="240" w:lineRule="auto"/>
        <w:ind w:firstLine="567"/>
        <w:jc w:val="both"/>
        <w:rPr>
          <w:rFonts w:ascii="Cambria" w:cs="Cambria" w:eastAsia="Cambria" w:hAnsi="Cambria"/>
          <w:b w:val="1"/>
          <w:color w:val="365f9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65f91"/>
          <w:sz w:val="24"/>
          <w:szCs w:val="24"/>
          <w:rtl w:val="0"/>
        </w:rPr>
        <w:t xml:space="preserve">ГЕОГРАФИЯ ПРОВЕДЕНИЯ КОНКУРСА</w:t>
      </w:r>
    </w:p>
    <w:p w:rsidR="00000000" w:rsidDel="00000000" w:rsidP="00000000" w:rsidRDefault="00000000" w:rsidRPr="00000000" w14:paraId="0000000E">
      <w:pPr>
        <w:spacing w:after="0" w:line="240" w:lineRule="auto"/>
        <w:ind w:firstLine="56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Конкурс проводится на территории Верхнекетского района Томской области </w:t>
      </w:r>
    </w:p>
    <w:p w:rsidR="00000000" w:rsidDel="00000000" w:rsidP="00000000" w:rsidRDefault="00000000" w:rsidRPr="00000000" w14:paraId="0000000F">
      <w:pPr>
        <w:spacing w:after="0" w:before="120" w:line="240" w:lineRule="auto"/>
        <w:ind w:firstLine="567"/>
        <w:jc w:val="both"/>
        <w:rPr>
          <w:rFonts w:ascii="Cambria" w:cs="Cambria" w:eastAsia="Cambria" w:hAnsi="Cambria"/>
          <w:b w:val="1"/>
          <w:color w:val="365f9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65f91"/>
          <w:sz w:val="24"/>
          <w:szCs w:val="24"/>
          <w:rtl w:val="0"/>
        </w:rPr>
        <w:t xml:space="preserve">УЧАСТНИКИ КОНКУРСА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К участию в конкурсе приглашаются инициативные группы жителей Верхнекетского района (от 3 человек), государственные и муниципальные учреждения, автономные некоммерческие организации, осуществляющие деятельность на территории Верхнекетского района.</w:t>
      </w:r>
    </w:p>
    <w:p w:rsidR="00000000" w:rsidDel="00000000" w:rsidP="00000000" w:rsidRDefault="00000000" w:rsidRPr="00000000" w14:paraId="00000011">
      <w:pPr>
        <w:spacing w:after="0" w:line="240" w:lineRule="auto"/>
        <w:ind w:firstLine="567"/>
        <w:jc w:val="both"/>
        <w:rPr>
          <w:rFonts w:ascii="Cambria" w:cs="Cambria" w:eastAsia="Cambria" w:hAnsi="Cambria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В конкурсе не могут принимать участие: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политические партии и движения;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религиозные организации и организации, занимающиеся религиозной деятельностью;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органы государственной и муниципальной власти;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коммерческие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120" w:line="240" w:lineRule="auto"/>
        <w:ind w:firstLine="567"/>
        <w:jc w:val="both"/>
        <w:rPr>
          <w:rFonts w:ascii="Cambria" w:cs="Cambria" w:eastAsia="Cambria" w:hAnsi="Cambria"/>
          <w:b w:val="1"/>
          <w:color w:val="365f9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65f91"/>
          <w:sz w:val="24"/>
          <w:szCs w:val="24"/>
          <w:rtl w:val="0"/>
        </w:rPr>
        <w:t xml:space="preserve">ПРИОРИТЕТЫ КОНКУРСА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В рамках Конкурса поддерживаются социокультурные проекты, предлагающие участие местных жителей в развитии своей локальной территории средствами культуры.</w:t>
      </w:r>
    </w:p>
    <w:p w:rsidR="00000000" w:rsidDel="00000000" w:rsidP="00000000" w:rsidRDefault="00000000" w:rsidRPr="00000000" w14:paraId="00000019">
      <w:pPr>
        <w:spacing w:after="0" w:before="120" w:line="240" w:lineRule="auto"/>
        <w:ind w:firstLine="567"/>
        <w:jc w:val="both"/>
        <w:rPr>
          <w:rFonts w:ascii="Cambria" w:cs="Cambria" w:eastAsia="Cambria" w:hAnsi="Cambria"/>
          <w:b w:val="1"/>
          <w:color w:val="365f91"/>
        </w:rPr>
      </w:pPr>
      <w:r w:rsidDel="00000000" w:rsidR="00000000" w:rsidRPr="00000000">
        <w:rPr>
          <w:rFonts w:ascii="Cambria" w:cs="Cambria" w:eastAsia="Cambria" w:hAnsi="Cambria"/>
          <w:b w:val="1"/>
          <w:color w:val="365f91"/>
          <w:rtl w:val="0"/>
        </w:rPr>
        <w:t xml:space="preserve">НОМИНАЦИИ КОНКУРСА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before="120" w:line="240" w:lineRule="auto"/>
        <w:ind w:left="0" w:firstLine="567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1. «Пространство жизни» 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tabs>
          <w:tab w:val="left" w:leader="none" w:pos="1418"/>
        </w:tabs>
        <w:spacing w:after="0" w:line="240" w:lineRule="auto"/>
        <w:ind w:left="0" w:firstLine="414"/>
        <w:jc w:val="both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проекты, ориентированные на создание новых пространств для посещения туристами и местными жителями или развитие существующих «точек притяжения» (ремонт, благоустройство, дополнительное наполнение)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tabs>
          <w:tab w:val="left" w:leader="none" w:pos="1418"/>
        </w:tabs>
        <w:spacing w:after="0" w:line="240" w:lineRule="auto"/>
        <w:ind w:left="0" w:firstLine="414"/>
        <w:jc w:val="both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проекты, порождающие культурное, социальное и экологическое предпринимательство, проекты, направленные на создание нового продукта на базе этно-культурного и историко-культурного капитала территории, влияющие на туристическую привлекательность  (событийные, гастрономические и т.д.).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«Культпоход»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tabs>
          <w:tab w:val="left" w:leader="none" w:pos="1418"/>
        </w:tabs>
        <w:spacing w:after="0" w:line="240" w:lineRule="auto"/>
        <w:ind w:left="0" w:firstLine="414"/>
        <w:jc w:val="both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проекты, направленные на креативные решения социальных проблем различных категорий жителей Верхнекетского района средствами культуры. (события, курсы, мастер-классы и т.д.)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«Курс на семью»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tabs>
          <w:tab w:val="left" w:leader="none" w:pos="1418"/>
        </w:tabs>
        <w:spacing w:after="0" w:line="240" w:lineRule="auto"/>
        <w:ind w:left="0" w:firstLine="414"/>
        <w:jc w:val="both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проекты, инициирующие новые формы семейного культурного досуга, содействующие межпоколенческой коммуникации, вовлекающие семьи в совместную культурную, обучающую  деятельность.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120" w:line="240" w:lineRule="auto"/>
        <w:ind w:firstLine="567"/>
        <w:jc w:val="both"/>
        <w:rPr>
          <w:rFonts w:ascii="Cambria" w:cs="Cambria" w:eastAsia="Cambria" w:hAnsi="Cambria"/>
          <w:b w:val="1"/>
          <w:color w:val="365f9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65f91"/>
          <w:sz w:val="24"/>
          <w:szCs w:val="24"/>
          <w:rtl w:val="0"/>
        </w:rPr>
        <w:t xml:space="preserve">СРОКИ ПРОВЕДЕНИЯ КОНКУРСА И РЕАЛИЗАЦИИ ПРОЕКТОВ: </w:t>
      </w:r>
    </w:p>
    <w:p w:rsidR="00000000" w:rsidDel="00000000" w:rsidP="00000000" w:rsidRDefault="00000000" w:rsidRPr="00000000" w14:paraId="00000022">
      <w:pPr>
        <w:spacing w:after="0" w:line="240" w:lineRule="auto"/>
        <w:ind w:firstLine="567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Срок подачи заявок на конкурс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с 15 мая 2024 г.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до 17:00 местного времени  1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 июня 2024г.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Срок предоставления заявки фиксируется по дате получения. </w:t>
      </w:r>
    </w:p>
    <w:p w:rsidR="00000000" w:rsidDel="00000000" w:rsidP="00000000" w:rsidRDefault="00000000" w:rsidRPr="00000000" w14:paraId="00000023">
      <w:pPr>
        <w:spacing w:after="0" w:line="240" w:lineRule="auto"/>
        <w:ind w:firstLine="567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Для участия в конкурсе заявителю необходимо предоставить заявку установленной формы (Приложение №1).  </w:t>
      </w:r>
    </w:p>
    <w:p w:rsidR="00000000" w:rsidDel="00000000" w:rsidP="00000000" w:rsidRDefault="00000000" w:rsidRPr="00000000" w14:paraId="00000024">
      <w:pPr>
        <w:spacing w:after="0" w:line="240" w:lineRule="auto"/>
        <w:ind w:firstLine="567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tbl>
      <w:tblPr>
        <w:tblStyle w:val="Table1"/>
        <w:tblW w:w="9463.0" w:type="dxa"/>
        <w:jc w:val="left"/>
        <w:tblLayout w:type="fixed"/>
        <w:tblLook w:val="0400"/>
      </w:tblPr>
      <w:tblGrid>
        <w:gridCol w:w="5152"/>
        <w:gridCol w:w="4311"/>
        <w:tblGridChange w:id="0">
          <w:tblGrid>
            <w:gridCol w:w="5152"/>
            <w:gridCol w:w="4311"/>
          </w:tblGrid>
        </w:tblGridChange>
      </w:tblGrid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ind w:firstLine="36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Этапы проведения конкурса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firstLine="360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Период / дата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Объявление конкурса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ind w:firstLine="360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15 мая 2024 г.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Консультации по написанию заявки на конкурс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firstLine="360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15 мая – 1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 июня  2024 г.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Семинар-практикум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“Логика проекта”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firstLine="360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9 мая 1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.00  часов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Окончание приема заявок на конкурс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 июня 2023 г.  до 17.00 часов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Объявление итогов конкурса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29 июня 2024г.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Период реализации проектов,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1  июля 2024г. – 30 сентября 2024г.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Подготовка и сдача письменных отчетов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до 6 октября 2024 г.</w:t>
            </w:r>
          </w:p>
        </w:tc>
      </w:tr>
    </w:tbl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Cambria" w:cs="Cambria" w:eastAsia="Cambria" w:hAnsi="Cambria"/>
          <w:b w:val="1"/>
          <w:color w:val="365f9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mbria" w:cs="Cambria" w:eastAsia="Cambria" w:hAnsi="Cambria"/>
          <w:b w:val="1"/>
          <w:color w:val="365f91"/>
          <w:sz w:val="24"/>
          <w:szCs w:val="24"/>
          <w:rtl w:val="0"/>
        </w:rPr>
        <w:t xml:space="preserve">УСЛОВИЯ ФИНАНСИРОВАНИЯ </w:t>
      </w:r>
    </w:p>
    <w:p w:rsidR="00000000" w:rsidDel="00000000" w:rsidP="00000000" w:rsidRDefault="00000000" w:rsidRPr="00000000" w14:paraId="00000036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Максимальный размер финансирования одного проекта составляет - 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45 000 рублей.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1"/>
          <w:numId w:val="7"/>
        </w:numPr>
        <w:spacing w:after="0"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Условия использования средств в рамках проектов:</w:t>
      </w:r>
    </w:p>
    <w:p w:rsidR="00000000" w:rsidDel="00000000" w:rsidP="00000000" w:rsidRDefault="00000000" w:rsidRPr="00000000" w14:paraId="00000038">
      <w:pPr>
        <w:spacing w:after="0" w:line="240" w:lineRule="auto"/>
        <w:ind w:left="36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Выделенные средства могут быть использованы для покрытия основных проектных расходов;</w:t>
      </w:r>
    </w:p>
    <w:p w:rsidR="00000000" w:rsidDel="00000000" w:rsidP="00000000" w:rsidRDefault="00000000" w:rsidRPr="00000000" w14:paraId="00000039">
      <w:pPr>
        <w:ind w:left="36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Основные проектные расходы – это расходы, которые необходимы для организации мероприятий в рамках проекта (аренда помещения, расходные материалы для проведения мероприятий и т.п.);</w:t>
      </w:r>
    </w:p>
    <w:p w:rsidR="00000000" w:rsidDel="00000000" w:rsidP="00000000" w:rsidRDefault="00000000" w:rsidRPr="00000000" w14:paraId="0000003A">
      <w:pPr>
        <w:spacing w:after="0" w:line="240" w:lineRule="auto"/>
        <w:ind w:left="36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Если в отношении проекта, Участника Конкурса, было принято положительное решение о финансировании, то он становится Победителем Конкурса.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Финансирование проектов -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победителей Конкурса осуществляется путем заключения соответствующих договоров между физическим лицом (представителем инициативной группы) - победителем и Организатором Конкурса.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Финансирование проекта осуществляется путем перечисления с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редств на расчетные счета организаций-поставщиков товаров и услуг, необходимых для реализации проекта (в соответствии с бюджетом проекта) по заявкам  победителя и предоставленным финансовым документам.</w:t>
      </w:r>
    </w:p>
    <w:p w:rsidR="00000000" w:rsidDel="00000000" w:rsidP="00000000" w:rsidRDefault="00000000" w:rsidRPr="00000000" w14:paraId="0000003C">
      <w:pPr>
        <w:spacing w:after="0" w:line="240" w:lineRule="auto"/>
        <w:ind w:left="36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Организатор Конкурса имеет право на проведение мониторинга и оценки реализации проекта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rFonts w:ascii="Cambria" w:cs="Cambria" w:eastAsia="Cambria" w:hAnsi="Cambria"/>
          <w:b w:val="1"/>
          <w:color w:val="365f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firstLine="567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Расходы, которые могут быть включены в проект: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покупка оборудования, материалов, аренда помещения, необходимые для реализации проекта;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покупка расходных материалов, необходимых для реализации проекта (краски, кисти, садовый инвентарь, инструменты, мешки для мусора, материалы, необходимые для проведения мастер-классов, воздушные шары для праздничного оформления и пр.);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расходы на создание информационных материалов (бумага, расходные материалы, типографские услуги, фотоуслуги);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567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оплата услуг сторонних организаций;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Средства, предоставленные победителю Конкурса не могут использоваться: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для покрытия долгов победителей Конкурса;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для осуществления деятельности, не связанной с представленным проектом;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для приобретения алкоголя;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на расходы, осуществленные до получения средств целевого финансирования на счет победителя;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оплату текущих расходов и долгов организации;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Непредвиденные расходы;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Представительские расходы;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Приобретение мобильных телефонов и оплата мобильной связи.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120" w:line="240" w:lineRule="auto"/>
        <w:ind w:firstLine="567"/>
        <w:jc w:val="both"/>
        <w:rPr>
          <w:rFonts w:ascii="Cambria" w:cs="Cambria" w:eastAsia="Cambria" w:hAnsi="Cambria"/>
          <w:b w:val="1"/>
          <w:color w:val="365f9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65f91"/>
          <w:sz w:val="24"/>
          <w:szCs w:val="24"/>
          <w:rtl w:val="0"/>
        </w:rPr>
        <w:t xml:space="preserve">ПРОЦЕДУРА ПОДАЧИ ЗАЯВОК НА КОНКУРС.  ОБЩИЕ ТРЕБОВАНИЯ К ЗАЯВКАМ</w:t>
      </w:r>
    </w:p>
    <w:p w:rsidR="00000000" w:rsidDel="00000000" w:rsidP="00000000" w:rsidRDefault="00000000" w:rsidRPr="00000000" w14:paraId="0000004D">
      <w:pPr>
        <w:spacing w:after="0" w:line="240" w:lineRule="auto"/>
        <w:ind w:firstLine="56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:rsidR="00000000" w:rsidDel="00000000" w:rsidP="00000000" w:rsidRDefault="00000000" w:rsidRPr="00000000" w14:paraId="0000004E">
      <w:pPr>
        <w:numPr>
          <w:ilvl w:val="0"/>
          <w:numId w:val="11"/>
        </w:numPr>
        <w:spacing w:after="0" w:line="240" w:lineRule="auto"/>
        <w:ind w:left="709" w:firstLine="0"/>
        <w:jc w:val="both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Проектная заявка должна быть составлена по форме заявки. Полный объем заявки не более 5 страниц, размер шрифта не менее 12-го.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Проекты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должны соответствовать направлениям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конкурса, реализация проектов должна осуществляться на территории Верхнекетского района Томской области.</w:t>
      </w:r>
    </w:p>
    <w:p w:rsidR="00000000" w:rsidDel="00000000" w:rsidP="00000000" w:rsidRDefault="00000000" w:rsidRPr="00000000" w14:paraId="00000050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Заявка должна быть представлена по электронной почте на адрес </w:t>
      </w:r>
      <w:hyperlink r:id="rId11">
        <w:r w:rsidDel="00000000" w:rsidR="00000000" w:rsidRPr="00000000">
          <w:rPr>
            <w:rFonts w:ascii="Cambria" w:cs="Cambria" w:eastAsia="Cambria" w:hAnsi="Cambria"/>
            <w:color w:val="0000ff"/>
            <w:sz w:val="24"/>
            <w:szCs w:val="24"/>
            <w:u w:val="single"/>
            <w:rtl w:val="0"/>
          </w:rPr>
          <w:t xml:space="preserve">ankdo.smorodina@mail.ru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с указанием в теме письма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«На конкурс «Малая культурная мозаика»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или доставлена лично по адресу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Томская область, Верхнекетский район, п.Белый Яр, ул.Гагарина д.55, каб. 28 понедельник—пятница с 9.00 до 17.00 </w:t>
      </w:r>
      <w:r w:rsidDel="00000000" w:rsidR="00000000" w:rsidRPr="00000000">
        <w:rPr>
          <w:rFonts w:ascii="Cambria" w:cs="Cambria" w:eastAsia="Cambria" w:hAnsi="Cambria"/>
          <w:color w:val="0000ff"/>
          <w:sz w:val="24"/>
          <w:szCs w:val="24"/>
          <w:u w:val="singl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Заявители самостоятельно несут расходы по подготовке и представлению проекта на конкурс. Данные расходы не возмещаются.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Документы, представленные на конкурс, не рецензируются и не возвращаются.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Заявки и документы, поступившие по истечении срока, указанного в Положении о конкурсе, а также не соответствующие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условиям конкурса к участию в конкурсе не допускаются.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120" w:line="240" w:lineRule="auto"/>
        <w:ind w:firstLine="567"/>
        <w:jc w:val="both"/>
        <w:rPr>
          <w:rFonts w:ascii="Cambria" w:cs="Cambria" w:eastAsia="Cambria" w:hAnsi="Cambria"/>
          <w:b w:val="1"/>
          <w:color w:val="365f9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65f91"/>
          <w:sz w:val="24"/>
          <w:szCs w:val="24"/>
          <w:rtl w:val="0"/>
        </w:rPr>
        <w:t xml:space="preserve">ПРОЕКТЫ ДОЛЖНЫ СООТВЕТСТВОВАТЬ СЛЕДУЮЩИМ КРИТЕРИЯМ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firstLine="567"/>
        <w:jc w:val="both"/>
        <w:rPr>
          <w:rFonts w:ascii="Cambria" w:cs="Cambria" w:eastAsia="Cambria" w:hAnsi="Cambria"/>
          <w:color w:val="333333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333333"/>
          <w:sz w:val="24"/>
          <w:szCs w:val="24"/>
          <w:rtl w:val="0"/>
        </w:rPr>
        <w:t xml:space="preserve">Решение о финансировании проектов принимается экспертным советом исходя из следующих основных критериев:</w:t>
      </w:r>
    </w:p>
    <w:p w:rsidR="00000000" w:rsidDel="00000000" w:rsidP="00000000" w:rsidRDefault="00000000" w:rsidRPr="00000000" w14:paraId="00000056">
      <w:pPr>
        <w:numPr>
          <w:ilvl w:val="0"/>
          <w:numId w:val="12"/>
        </w:numPr>
        <w:shd w:fill="ffffff" w:val="clear"/>
        <w:spacing w:after="0"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rFonts w:ascii="Cambria" w:cs="Cambria" w:eastAsia="Cambria" w:hAnsi="Cambria"/>
          <w:color w:val="333333"/>
          <w:sz w:val="24"/>
          <w:szCs w:val="24"/>
          <w:rtl w:val="0"/>
        </w:rPr>
        <w:t xml:space="preserve">актуальность,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востребованность и значимость проекта для местных жителей, в т.ч. для социально незащищенных категорий;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2"/>
        </w:numPr>
        <w:shd w:fill="ffffff" w:val="clear"/>
        <w:spacing w:after="0"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rFonts w:ascii="Cambria" w:cs="Cambria" w:eastAsia="Cambria" w:hAnsi="Cambria"/>
          <w:color w:val="333333"/>
          <w:sz w:val="24"/>
          <w:szCs w:val="24"/>
          <w:rtl w:val="0"/>
        </w:rPr>
        <w:t xml:space="preserve">четкий план реализации проекта;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2"/>
        </w:numPr>
        <w:shd w:fill="ffffff" w:val="clear"/>
        <w:spacing w:after="0"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rFonts w:ascii="Cambria" w:cs="Cambria" w:eastAsia="Cambria" w:hAnsi="Cambria"/>
          <w:color w:val="333333"/>
          <w:sz w:val="24"/>
          <w:szCs w:val="24"/>
          <w:rtl w:val="0"/>
        </w:rPr>
        <w:t xml:space="preserve">реалистичность и достижимость заявленных результатов;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2"/>
        </w:numPr>
        <w:shd w:fill="ffffff" w:val="clear"/>
        <w:spacing w:after="0"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rFonts w:ascii="Cambria" w:cs="Cambria" w:eastAsia="Cambria" w:hAnsi="Cambria"/>
          <w:color w:val="333333"/>
          <w:rtl w:val="0"/>
        </w:rPr>
        <w:t xml:space="preserve"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2"/>
        </w:numPr>
        <w:shd w:fill="ffffff" w:val="clear"/>
        <w:spacing w:after="0"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rFonts w:ascii="Cambria" w:cs="Cambria" w:eastAsia="Cambria" w:hAnsi="Cambria"/>
          <w:color w:val="333333"/>
          <w:rtl w:val="0"/>
        </w:rPr>
        <w:t xml:space="preserve">в проектах в номинации «Курс на семью» должно быть задействовано не менее пяти семей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2"/>
        </w:numPr>
        <w:shd w:fill="ffffff" w:val="clear"/>
        <w:spacing w:after="0"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rFonts w:ascii="Cambria" w:cs="Cambria" w:eastAsia="Cambria" w:hAnsi="Cambria"/>
          <w:color w:val="333333"/>
          <w:sz w:val="24"/>
          <w:szCs w:val="24"/>
          <w:rtl w:val="0"/>
        </w:rPr>
        <w:t xml:space="preserve">реалистичность и обоснованность затрат (расходов) по проекту (соотношение затрат (расходов) и планируемых результатов, рациональность)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2"/>
        </w:numPr>
        <w:shd w:fill="ffffff" w:val="clear"/>
        <w:spacing w:after="0" w:line="240" w:lineRule="auto"/>
        <w:ind w:left="720" w:hanging="360"/>
        <w:jc w:val="both"/>
        <w:rPr>
          <w:color w:val="333333"/>
        </w:rPr>
      </w:pPr>
      <w:r w:rsidDel="00000000" w:rsidR="00000000" w:rsidRPr="00000000">
        <w:rPr>
          <w:rFonts w:ascii="Cambria" w:cs="Cambria" w:eastAsia="Cambria" w:hAnsi="Cambria"/>
          <w:color w:val="333333"/>
          <w:sz w:val="24"/>
          <w:szCs w:val="24"/>
          <w:rtl w:val="0"/>
        </w:rPr>
        <w:t xml:space="preserve">устойчивость проекта после окончания финансирования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spacing w:after="0" w:before="12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ПРОЦЕДУРА РАССМОТРЕНИЯ ЗАЯВОК </w:t>
      </w:r>
    </w:p>
    <w:p w:rsidR="00000000" w:rsidDel="00000000" w:rsidP="00000000" w:rsidRDefault="00000000" w:rsidRPr="00000000" w14:paraId="0000005E">
      <w:pPr>
        <w:tabs>
          <w:tab w:val="left" w:leader="none" w:pos="360"/>
        </w:tabs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С целью определения победителей Конкурса создается Экспертный совет. Экспертный совет является независимым, его состав не публикуется и не заявляется. Заседания Экспертного совета являются закрытыми.</w:t>
      </w:r>
    </w:p>
    <w:p w:rsidR="00000000" w:rsidDel="00000000" w:rsidP="00000000" w:rsidRDefault="00000000" w:rsidRPr="00000000" w14:paraId="0000005F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По рассматриваемым проектам Экспертный совет дает одну из следующих рекомендаций: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«профинансировать проект»;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«профинансировать проект с учетом изменений, рекомендованных экспертами»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0" w:line="24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«отказать в финансировании проекта».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firstLine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Члены экспертного совета вправе принять решение о частичном финансировании запрашиваемых расходов на реализацию проекта.</w:t>
      </w:r>
    </w:p>
    <w:p w:rsidR="00000000" w:rsidDel="00000000" w:rsidP="00000000" w:rsidRDefault="00000000" w:rsidRPr="00000000" w14:paraId="00000064">
      <w:pPr>
        <w:pStyle w:val="Title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Оценка проектов осуществляется в два этапа: 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1"/>
        </w:numPr>
        <w:tabs>
          <w:tab w:val="left" w:leader="none" w:pos="284"/>
        </w:tabs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на первом этапе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члены Экспертного совета индивидуально знакомятся с содержанием всех проектных заявок, и заполняют анкеты экспертов на каждый проект;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1"/>
        </w:numPr>
        <w:tabs>
          <w:tab w:val="left" w:leader="none" w:pos="284"/>
        </w:tabs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на втором этапе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(во время заседания Экспертного Совета) члены Экспертного совета обсуждают проекты и экспертные заключения, и принимают окончательное решение о финансировании проекта, либо отказе в финансировании.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Решение о победителях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Конкурса принимается простым большинством голосов членов Экспертного Совета, открытым голосованием и оформляется в форме протокола. </w:t>
      </w:r>
    </w:p>
    <w:p w:rsidR="00000000" w:rsidDel="00000000" w:rsidP="00000000" w:rsidRDefault="00000000" w:rsidRPr="00000000" w14:paraId="00000068">
      <w:pPr>
        <w:spacing w:after="0" w:line="240" w:lineRule="auto"/>
        <w:ind w:firstLine="709"/>
        <w:jc w:val="both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Результаты конкурса будут объявлены 29 июня 2024г.</w:t>
      </w:r>
    </w:p>
    <w:p w:rsidR="00000000" w:rsidDel="00000000" w:rsidP="00000000" w:rsidRDefault="00000000" w:rsidRPr="00000000" w14:paraId="00000069">
      <w:pPr>
        <w:spacing w:after="0" w:line="240" w:lineRule="auto"/>
        <w:ind w:firstLine="56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Результаты Конкурса можно будет узнать на сайте Муниципального автономного учреждения «Культура» (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maukultura.ru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).</w:t>
      </w:r>
    </w:p>
    <w:p w:rsidR="00000000" w:rsidDel="00000000" w:rsidP="00000000" w:rsidRDefault="00000000" w:rsidRPr="00000000" w14:paraId="0000006A">
      <w:pPr>
        <w:spacing w:after="0" w:before="120" w:line="240" w:lineRule="auto"/>
        <w:ind w:firstLine="567"/>
        <w:jc w:val="both"/>
        <w:rPr>
          <w:rFonts w:ascii="Cambria" w:cs="Cambria" w:eastAsia="Cambria" w:hAnsi="Cambria"/>
          <w:b w:val="1"/>
          <w:color w:val="365f9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365f91"/>
          <w:sz w:val="24"/>
          <w:szCs w:val="24"/>
          <w:rtl w:val="0"/>
        </w:rPr>
        <w:t xml:space="preserve">ОБЩАЯ ИНФОРМАЦИЯ ДЛЯ УЧАСТНИКОВ КОНКУРСА </w:t>
      </w:r>
    </w:p>
    <w:p w:rsidR="00000000" w:rsidDel="00000000" w:rsidP="00000000" w:rsidRDefault="00000000" w:rsidRPr="00000000" w14:paraId="0000006B">
      <w:pPr>
        <w:spacing w:after="0" w:line="240" w:lineRule="auto"/>
        <w:ind w:firstLine="56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Дополнительную информацию и консультации можно получить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с 10.00 до 17.00 ежедневно, кроме выходных и праздничных дней по телефону </w:t>
      </w:r>
    </w:p>
    <w:p w:rsidR="00000000" w:rsidDel="00000000" w:rsidP="00000000" w:rsidRDefault="00000000" w:rsidRPr="00000000" w14:paraId="0000006C">
      <w:pPr>
        <w:spacing w:after="0" w:line="240" w:lineRule="auto"/>
        <w:ind w:firstLine="56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8-913-847-10-84 Майкова Оксана Георгиевна</w:t>
      </w:r>
    </w:p>
    <w:p w:rsidR="00000000" w:rsidDel="00000000" w:rsidP="00000000" w:rsidRDefault="00000000" w:rsidRPr="00000000" w14:paraId="0000006D">
      <w:pPr>
        <w:spacing w:after="0" w:line="240" w:lineRule="auto"/>
        <w:ind w:firstLine="56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8-913-825-94-45 Кудашева Светлана Вячеславовна.</w:t>
      </w:r>
    </w:p>
    <w:p w:rsidR="00000000" w:rsidDel="00000000" w:rsidP="00000000" w:rsidRDefault="00000000" w:rsidRPr="00000000" w14:paraId="0000006E">
      <w:pPr>
        <w:spacing w:after="0" w:line="240" w:lineRule="auto"/>
        <w:ind w:firstLine="56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firstLine="56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ind w:firstLine="56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ind w:firstLine="567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12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Title"/>
        <w:rPr>
          <w:sz w:val="28"/>
          <w:szCs w:val="28"/>
          <w:u w:val="none"/>
        </w:rPr>
      </w:pPr>
      <w:r w:rsidDel="00000000" w:rsidR="00000000" w:rsidRPr="00000000">
        <w:rPr>
          <w:u w:val="none"/>
        </w:rPr>
        <w:drawing>
          <wp:inline distB="0" distT="0" distL="0" distR="0">
            <wp:extent cx="409575" cy="511969"/>
            <wp:effectExtent b="0" l="0" r="0" t="0"/>
            <wp:docPr descr="C:\Users\Майкова\Documents\моё\verhneketskii_rayon_coa.gif" id="7" name="image1.png"/>
            <a:graphic>
              <a:graphicData uri="http://schemas.openxmlformats.org/drawingml/2006/picture">
                <pic:pic>
                  <pic:nvPicPr>
                    <pic:cNvPr descr="C:\Users\Майкова\Documents\моё\verhneketskii_rayon_coa.g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119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u w:val="none"/>
        </w:rPr>
        <w:drawing>
          <wp:inline distB="0" distT="0" distL="0" distR="0">
            <wp:extent cx="1305758" cy="514679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24339" l="48380" r="15572" t="23653"/>
                    <a:stretch>
                      <a:fillRect/>
                    </a:stretch>
                  </pic:blipFill>
                  <pic:spPr>
                    <a:xfrm>
                      <a:off x="0" y="0"/>
                      <a:ext cx="1305758" cy="5146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u w:val="none"/>
        </w:rPr>
        <w:drawing>
          <wp:inline distB="0" distT="0" distL="0" distR="0">
            <wp:extent cx="1520896" cy="465775"/>
            <wp:effectExtent b="0" l="0" r="0" t="0"/>
            <wp:docPr descr="D:\парнер\малая культурная\лого программы.jpg" id="9" name="image2.png"/>
            <a:graphic>
              <a:graphicData uri="http://schemas.openxmlformats.org/drawingml/2006/picture">
                <pic:pic>
                  <pic:nvPicPr>
                    <pic:cNvPr descr="D:\парнер\малая культурная\лого программы.jp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0896" cy="46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u w:val="none"/>
        </w:rPr>
        <w:drawing>
          <wp:inline distB="0" distT="0" distL="0" distR="0">
            <wp:extent cx="1284122" cy="411255"/>
            <wp:effectExtent b="0" l="0" r="0" t="0"/>
            <wp:docPr descr="C:\Users\Майкова\Documents\моё\НКО\Рисунок5.png" id="8" name="image5.png"/>
            <a:graphic>
              <a:graphicData uri="http://schemas.openxmlformats.org/drawingml/2006/picture">
                <pic:pic>
                  <pic:nvPicPr>
                    <pic:cNvPr descr="C:\Users\Майкова\Documents\моё\НКО\Рисунок5.png" id="0" name="image5.png"/>
                    <pic:cNvPicPr preferRelativeResize="0"/>
                  </pic:nvPicPr>
                  <pic:blipFill>
                    <a:blip r:embed="rId9"/>
                    <a:srcRect b="30916" l="13635" r="0" t="24382"/>
                    <a:stretch>
                      <a:fillRect/>
                    </a:stretch>
                  </pic:blipFill>
                  <pic:spPr>
                    <a:xfrm>
                      <a:off x="0" y="0"/>
                      <a:ext cx="1284122" cy="411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u w:val="none"/>
        </w:rPr>
        <w:drawing>
          <wp:inline distB="0" distT="0" distL="0" distR="0">
            <wp:extent cx="808187" cy="479861"/>
            <wp:effectExtent b="0" l="0" r="0" t="0"/>
            <wp:docPr descr="C:\Users\Майкова\Documents\моё\klejmo.png" id="10" name="image4.png"/>
            <a:graphic>
              <a:graphicData uri="http://schemas.openxmlformats.org/drawingml/2006/picture">
                <pic:pic>
                  <pic:nvPicPr>
                    <pic:cNvPr descr="C:\Users\Майкова\Documents\моё\klejmo.png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8187" cy="4798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677.0" w:type="dxa"/>
        <w:jc w:val="right"/>
        <w:tblLayout w:type="fixed"/>
        <w:tblLook w:val="0000"/>
      </w:tblPr>
      <w:tblGrid>
        <w:gridCol w:w="2693"/>
        <w:gridCol w:w="1984"/>
        <w:tblGridChange w:id="0">
          <w:tblGrid>
            <w:gridCol w:w="2693"/>
            <w:gridCol w:w="19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получения заявки: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заявки: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righ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righ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ЗАЯВКА</w:t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На конкурс проектов «Малая культурная мозаика Верхнекетья»</w:t>
      </w:r>
    </w:p>
    <w:p w:rsidR="00000000" w:rsidDel="00000000" w:rsidP="00000000" w:rsidRDefault="00000000" w:rsidRPr="00000000" w14:paraId="0000007F">
      <w:pPr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9.0" w:type="dxa"/>
        <w:jc w:val="left"/>
        <w:tblInd w:w="-284.0" w:type="dxa"/>
        <w:tblLayout w:type="fixed"/>
        <w:tblLook w:val="0000"/>
      </w:tblPr>
      <w:tblGrid>
        <w:gridCol w:w="4820"/>
        <w:gridCol w:w="2834"/>
        <w:gridCol w:w="1925"/>
        <w:tblGridChange w:id="0">
          <w:tblGrid>
            <w:gridCol w:w="4820"/>
            <w:gridCol w:w="2834"/>
            <w:gridCol w:w="192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-720"/>
                <w:tab w:val="left" w:leader="none" w:pos="360"/>
              </w:tabs>
              <w:spacing w:after="0" w:before="0" w:line="240" w:lineRule="auto"/>
              <w:ind w:left="0" w:right="0" w:firstLine="11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Название проекта: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tabs>
                <w:tab w:val="left" w:leader="none" w:pos="-720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-720"/>
                <w:tab w:val="left" w:leader="none" w:pos="360"/>
              </w:tabs>
              <w:spacing w:after="0" w:before="0" w:line="240" w:lineRule="auto"/>
              <w:ind w:left="0" w:right="0" w:firstLine="11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Номинация проекта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tabs>
                <w:tab w:val="left" w:leader="none" w:pos="-720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tabs>
                <w:tab w:val="left" w:leader="none" w:pos="-720"/>
              </w:tabs>
              <w:spacing w:after="0" w:line="240" w:lineRule="auto"/>
              <w:ind w:firstLine="114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3. Бюджет проекта (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в рублях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tabs>
                <w:tab w:val="left" w:leader="none" w:pos="-720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Запрашиваемая сумма: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tabs>
                <w:tab w:val="left" w:leader="none" w:pos="-720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tabs>
                <w:tab w:val="left" w:leader="none" w:pos="-720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Общая сумма проекта: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tabs>
                <w:tab w:val="left" w:leader="none" w:pos="-720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tabs>
                <w:tab w:val="left" w:leader="none" w:pos="-720"/>
              </w:tabs>
              <w:spacing w:after="0" w:line="240" w:lineRule="auto"/>
              <w:ind w:firstLine="114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3. Ф.И.О. руководителя проекта: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tabs>
                <w:tab w:val="left" w:leader="none" w:pos="-720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tabs>
                <w:tab w:val="left" w:leader="none" w:pos="-720"/>
              </w:tabs>
              <w:spacing w:after="0" w:line="240" w:lineRule="auto"/>
              <w:ind w:firstLine="114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4.  Контакты руководителя проекта: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tabs>
                <w:tab w:val="left" w:leader="none" w:pos="-720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Раб, телефон (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с кодом города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):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tabs>
                <w:tab w:val="left" w:leader="none" w:pos="-720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Моб, телефон: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tabs>
                <w:tab w:val="left" w:leader="none" w:pos="-720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Эл, почта: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tabs>
                <w:tab w:val="left" w:leader="none" w:pos="-720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Место работы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tabs>
                <w:tab w:val="left" w:leader="none" w:pos="-720"/>
              </w:tabs>
              <w:spacing w:after="0" w:line="240" w:lineRule="auto"/>
              <w:ind w:left="11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5. Название заявителя</w:t>
            </w:r>
          </w:p>
          <w:p w:rsidR="00000000" w:rsidDel="00000000" w:rsidP="00000000" w:rsidRDefault="00000000" w:rsidRPr="00000000" w14:paraId="0000009C">
            <w:pPr>
              <w:tabs>
                <w:tab w:val="left" w:leader="none" w:pos="-720"/>
              </w:tabs>
              <w:spacing w:after="0" w:line="240" w:lineRule="auto"/>
              <w:ind w:left="370" w:firstLine="113.99999999999999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(организации/ инициативной группы)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tabs>
                <w:tab w:val="left" w:leader="none" w:pos="-720"/>
              </w:tabs>
              <w:spacing w:after="0" w:line="240" w:lineRule="auto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-720"/>
              </w:tabs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tabs>
                <w:tab w:val="left" w:leader="none" w:pos="-720"/>
              </w:tabs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6.  Адрес местонахождения организации/инициативной группы: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tabs>
                <w:tab w:val="left" w:leader="none" w:pos="-720"/>
              </w:tabs>
              <w:spacing w:after="0" w:line="240" w:lineRule="auto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-720"/>
              </w:tabs>
              <w:spacing w:after="0" w:before="0" w:line="240" w:lineRule="auto"/>
              <w:ind w:left="0" w:right="0" w:firstLine="11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Контакты организации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-720"/>
              </w:tabs>
              <w:spacing w:after="0" w:before="0" w:line="240" w:lineRule="auto"/>
              <w:ind w:left="0" w:right="0" w:firstLine="114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(для юридических лиц)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-720"/>
              </w:tabs>
              <w:spacing w:after="0" w:before="0" w:line="240" w:lineRule="auto"/>
              <w:ind w:left="0" w:right="0" w:firstLine="11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tabs>
                <w:tab w:val="left" w:leader="none" w:pos="-720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Телефон: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tabs>
                <w:tab w:val="left" w:leader="none" w:pos="-720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Факс: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tabs>
                <w:tab w:val="left" w:leader="none" w:pos="-720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Эл. почта: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-720"/>
              </w:tabs>
              <w:spacing w:after="0" w:before="0" w:line="240" w:lineRule="auto"/>
              <w:ind w:left="0" w:right="0" w:firstLine="11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Команда проекта (не менее трех человек)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-720"/>
              </w:tabs>
              <w:spacing w:after="0" w:before="0" w:line="240" w:lineRule="auto"/>
              <w:ind w:left="0" w:right="0" w:firstLine="11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(Ф.И.О. –место работы)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tabs>
                <w:tab w:val="left" w:leader="none" w:pos="-720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tabs>
                <w:tab w:val="left" w:leader="none" w:pos="-720"/>
              </w:tabs>
              <w:spacing w:after="0" w:line="240" w:lineRule="auto"/>
              <w:ind w:firstLine="114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9. Краткое описание проекта:</w:t>
            </w:r>
          </w:p>
          <w:p w:rsidR="00000000" w:rsidDel="00000000" w:rsidP="00000000" w:rsidRDefault="00000000" w:rsidRPr="00000000" w14:paraId="000000B3">
            <w:pPr>
              <w:tabs>
                <w:tab w:val="left" w:leader="none" w:pos="-720"/>
              </w:tabs>
              <w:spacing w:after="0" w:line="240" w:lineRule="auto"/>
              <w:ind w:firstLine="114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(не более 10 предложений)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tabs>
                <w:tab w:val="left" w:leader="none" w:pos="-720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tabs>
                <w:tab w:val="left" w:leader="none" w:pos="-720"/>
              </w:tabs>
              <w:spacing w:after="0" w:line="240" w:lineRule="auto"/>
              <w:ind w:firstLine="114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10. Продолжительность проекта: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-720"/>
              </w:tabs>
              <w:spacing w:after="0" w:line="240" w:lineRule="auto"/>
              <w:ind w:firstLine="114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      (не более 3 месяцев)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tabs>
                <w:tab w:val="left" w:leader="none" w:pos="-720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tabs>
                <w:tab w:val="left" w:leader="none" w:pos="-720"/>
              </w:tabs>
              <w:spacing w:after="0" w:line="240" w:lineRule="auto"/>
              <w:ind w:firstLine="114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 Территория реализации проекта: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-720"/>
              </w:tabs>
              <w:spacing w:after="0" w:line="240" w:lineRule="auto"/>
              <w:ind w:firstLine="114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tabs>
                <w:tab w:val="left" w:leader="none" w:pos="-720"/>
              </w:tabs>
              <w:spacing w:after="0" w:line="240" w:lineRule="auto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tabs>
          <w:tab w:val="left" w:leader="none" w:pos="-720"/>
        </w:tabs>
        <w:ind w:left="3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-720"/>
        </w:tabs>
        <w:ind w:left="3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-72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-720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tabs>
          <w:tab w:val="left" w:leader="none" w:pos="-720"/>
        </w:tabs>
        <w:ind w:left="36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ОПИСАНИЕ ПРОЕКТА, НА КОТОРЫЙ ЗАПРАШИВАЕТСЯ ФИНАНСИРОВАНИЕ</w:t>
      </w:r>
    </w:p>
    <w:p w:rsidR="00000000" w:rsidDel="00000000" w:rsidP="00000000" w:rsidRDefault="00000000" w:rsidRPr="00000000" w14:paraId="000000C3">
      <w:pPr>
        <w:numPr>
          <w:ilvl w:val="0"/>
          <w:numId w:val="2"/>
        </w:numPr>
        <w:tabs>
          <w:tab w:val="left" w:leader="none" w:pos="-720"/>
        </w:tabs>
        <w:spacing w:after="0" w:line="240" w:lineRule="auto"/>
        <w:ind w:left="284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ОБОСНОВАНИЕ НЕОБХОДИМОСТИ ПРОЕКТА: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-720"/>
        </w:tabs>
        <w:spacing w:after="0" w:line="240" w:lineRule="auto"/>
        <w:ind w:left="36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(Опишите, пожалуйста проблему, которую вы собираетесь решить в ходе проекта и обоснуйте его необходимость для той территории на которой он будет реализован.</w:t>
      </w: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Какие актуальные проблемы поселения помогает решить проект? Как? Какие ресурсы там есть для его реализации?)</w:t>
      </w:r>
    </w:p>
    <w:p w:rsidR="00000000" w:rsidDel="00000000" w:rsidP="00000000" w:rsidRDefault="00000000" w:rsidRPr="00000000" w14:paraId="000000C5">
      <w:pPr>
        <w:numPr>
          <w:ilvl w:val="0"/>
          <w:numId w:val="2"/>
        </w:numPr>
        <w:tabs>
          <w:tab w:val="left" w:leader="none" w:pos="-720"/>
        </w:tabs>
        <w:spacing w:after="0" w:line="240" w:lineRule="auto"/>
        <w:ind w:left="284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ЦЕЛЬ И ЗАДАЧИ ПРОЕКТА: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leader="none" w:pos="-720"/>
        </w:tabs>
        <w:spacing w:after="0" w:line="240" w:lineRule="auto"/>
        <w:ind w:left="284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(укажите цель и задачи проекта, чего вы хотите достичь в результате реализации проекта?)</w:t>
      </w:r>
    </w:p>
    <w:p w:rsidR="00000000" w:rsidDel="00000000" w:rsidP="00000000" w:rsidRDefault="00000000" w:rsidRPr="00000000" w14:paraId="000000C7">
      <w:pPr>
        <w:numPr>
          <w:ilvl w:val="0"/>
          <w:numId w:val="2"/>
        </w:numPr>
        <w:tabs>
          <w:tab w:val="left" w:leader="none" w:pos="-720"/>
        </w:tabs>
        <w:spacing w:after="0" w:line="240" w:lineRule="auto"/>
        <w:ind w:left="284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УЧАСТНИКИ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-720"/>
        </w:tabs>
        <w:spacing w:after="0" w:line="240" w:lineRule="auto"/>
        <w:ind w:left="3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4.1. Участники, осуществляющие исполнение мероприятий проекта.</w:t>
      </w:r>
      <w:r w:rsidDel="00000000" w:rsidR="00000000" w:rsidRPr="00000000">
        <w:rPr>
          <w:sz w:val="24"/>
          <w:szCs w:val="24"/>
          <w:rtl w:val="0"/>
        </w:rPr>
        <w:t xml:space="preserve"> Состав команды, реализующей проект (с описанием функций каждого члена команды). Привлечённые эксперты (если планируются)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-720"/>
        </w:tabs>
        <w:spacing w:after="0" w:line="240" w:lineRule="auto"/>
        <w:ind w:left="284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Опишите кто будет осуществлять мероприятия проекта и как будут распределена ответственность. </w:t>
      </w:r>
    </w:p>
    <w:p w:rsidR="00000000" w:rsidDel="00000000" w:rsidP="00000000" w:rsidRDefault="00000000" w:rsidRPr="00000000" w14:paraId="000000CA">
      <w:pPr>
        <w:tabs>
          <w:tab w:val="left" w:leader="none" w:pos="-720"/>
        </w:tabs>
        <w:spacing w:after="0" w:line="240" w:lineRule="auto"/>
        <w:ind w:left="28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4.2. Участники проекта на которых направлены мероприятия проекта (целевая аудитория). </w:t>
      </w:r>
    </w:p>
    <w:p w:rsidR="00000000" w:rsidDel="00000000" w:rsidP="00000000" w:rsidRDefault="00000000" w:rsidRPr="00000000" w14:paraId="000000CB">
      <w:pPr>
        <w:tabs>
          <w:tab w:val="left" w:leader="none" w:pos="-720"/>
        </w:tabs>
        <w:spacing w:after="0" w:line="240" w:lineRule="auto"/>
        <w:ind w:left="284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Опишите, пожалуйста, группы участников проекта, на кого рассчитан проект, их количество, способы их привлечения к участию в мероприятиях проекта.</w:t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ОСНОВНАЯ ДЕЯТЕЛЬНОСТЬ В ХОДЕ ПРОЕКТА</w:t>
      </w:r>
      <w:r w:rsidDel="00000000" w:rsidR="00000000" w:rsidRPr="00000000">
        <w:rPr>
          <w:sz w:val="24"/>
          <w:szCs w:val="24"/>
          <w:rtl w:val="0"/>
        </w:rPr>
        <w:t xml:space="preserve"> (м</w:t>
      </w:r>
      <w:r w:rsidDel="00000000" w:rsidR="00000000" w:rsidRPr="00000000">
        <w:rPr>
          <w:b w:val="1"/>
          <w:sz w:val="24"/>
          <w:szCs w:val="24"/>
          <w:rtl w:val="0"/>
        </w:rPr>
        <w:t xml:space="preserve">еханизм реализации):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-720"/>
        </w:tabs>
        <w:spacing w:after="0" w:line="240" w:lineRule="auto"/>
        <w:ind w:left="284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(Опишите как можно подробнее вашу деятельность в рамках проекта. Что именно будет сделано, какие мероприятия проведены, каким образом это будет сделано. Если при проведении мероприятий будут привлекаться партнеры, укажите их роль в проекте).  </w:t>
      </w:r>
    </w:p>
    <w:p w:rsidR="00000000" w:rsidDel="00000000" w:rsidP="00000000" w:rsidRDefault="00000000" w:rsidRPr="00000000" w14:paraId="000000CE">
      <w:pPr>
        <w:numPr>
          <w:ilvl w:val="0"/>
          <w:numId w:val="2"/>
        </w:numPr>
        <w:tabs>
          <w:tab w:val="left" w:leader="none" w:pos="-720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ОЖИДАЕМЫЕ РЕЗУЛЬТАТЫ ПРОЕКТА: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-720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(Укажите какие результаты будут достигнуты благодаря реализации проекта; предполагаемое количество жителей территории, вовлеченных в проект и варианты их вовлечения, участия;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как изменится ситуация в результате реализации проекта, какое влияние окажет проект на целевую группу и т. д.).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2"/>
        </w:numPr>
        <w:tabs>
          <w:tab w:val="left" w:leader="none" w:pos="-720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ГРАФИК МЕРОПРИЯТИЙ ПРОЕКТА (план работы):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-720"/>
        </w:tabs>
        <w:spacing w:after="0" w:line="240" w:lineRule="auto"/>
        <w:ind w:left="284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(укажите в таблице все мероприятия проекта, описанные в п. 5 и опишите результаты каждого мероприятия) </w:t>
      </w:r>
    </w:p>
    <w:tbl>
      <w:tblPr>
        <w:tblStyle w:val="Table4"/>
        <w:tblW w:w="9385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3544"/>
        <w:gridCol w:w="2268"/>
        <w:gridCol w:w="3006"/>
        <w:tblGridChange w:id="0">
          <w:tblGrid>
            <w:gridCol w:w="567"/>
            <w:gridCol w:w="3544"/>
            <w:gridCol w:w="2268"/>
            <w:gridCol w:w="3006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tabs>
                <w:tab w:val="left" w:leader="none" w:pos="-72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tabs>
                <w:tab w:val="left" w:leader="none" w:pos="-72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Наименование мероприятия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tabs>
                <w:tab w:val="left" w:leader="none" w:pos="-72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 (период) проведения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tabs>
                <w:tab w:val="left" w:leader="none" w:pos="-72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Результат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tabs>
                <w:tab w:val="left" w:leader="none" w:pos="-72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tabs>
                <w:tab w:val="left" w:leader="none" w:pos="-72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tabs>
          <w:tab w:val="left" w:leader="none" w:pos="-720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В плане реализации проекта должно быть не менее двух мероприятий для организованных групп </w:t>
      </w:r>
    </w:p>
    <w:p w:rsidR="00000000" w:rsidDel="00000000" w:rsidP="00000000" w:rsidRDefault="00000000" w:rsidRPr="00000000" w14:paraId="000000DF">
      <w:pPr>
        <w:tabs>
          <w:tab w:val="left" w:leader="none" w:pos="-720"/>
        </w:tabs>
        <w:spacing w:after="0" w:line="240" w:lineRule="auto"/>
        <w:ind w:left="284" w:firstLine="0"/>
        <w:jc w:val="both"/>
        <w:rPr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2"/>
        </w:numPr>
        <w:tabs>
          <w:tab w:val="left" w:leader="none" w:pos="-720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БЮДЖЕТ ПРОЕКТА: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Подробный постатейный бюджет, отражающий все предполагаемые затраты по проекту.</w:t>
      </w:r>
    </w:p>
    <w:p w:rsidR="00000000" w:rsidDel="00000000" w:rsidP="00000000" w:rsidRDefault="00000000" w:rsidRPr="00000000" w14:paraId="000000E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ВНИМАНИЕ!</w:t>
      </w:r>
      <w:r w:rsidDel="00000000" w:rsidR="00000000" w:rsidRPr="00000000">
        <w:rPr>
          <w:i w:val="1"/>
          <w:sz w:val="24"/>
          <w:szCs w:val="24"/>
          <w:rtl w:val="0"/>
        </w:rPr>
        <w:t xml:space="preserve"> В рамках конкурса не поддерживаются такие статьи расходов как «Непредвиденные расходы», «Представительские расходы», «Приобретение мобильных телефонов и оплата мобильной связи», «Приобретения алкоголя», «Оплата текущих расходов и долгов организации»  и т.д..</w:t>
      </w:r>
    </w:p>
    <w:p w:rsidR="00000000" w:rsidDel="00000000" w:rsidP="00000000" w:rsidRDefault="00000000" w:rsidRPr="00000000" w14:paraId="000000E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Величина запрашиваемого финансирования не должна превышать суммы, определенной условиями конкурса – 45 000 руб. и не менее 5 000 руб.  При этом, общая сумма, необходимая для выполнения проекта, может быть больше запрашиваемой суммы. В этом случае, Вы должны указать источники дополнительного финансирования. 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Просим вас предоставить как можно более точные и обоснованные цифры по расходам по вашему проекту. Все суммы должны быть указаны в рублях. Помимо этих данных необходимо представить комментарии по расходам по каждой статье. В комментариях необходимо описать виды расходов и обосновать их размер. Комментарии нужны для того, чтобы максимально предупредить возникновение вопросов, которые могут появиться у экспертов в процессе оценки вашей заявки.</w:t>
      </w:r>
    </w:p>
    <w:tbl>
      <w:tblPr>
        <w:tblStyle w:val="Table5"/>
        <w:tblW w:w="9463.0" w:type="dxa"/>
        <w:jc w:val="left"/>
        <w:tblLayout w:type="fixed"/>
        <w:tblLook w:val="0000"/>
      </w:tblPr>
      <w:tblGrid>
        <w:gridCol w:w="426"/>
        <w:gridCol w:w="2091"/>
        <w:gridCol w:w="709"/>
        <w:gridCol w:w="1629"/>
        <w:gridCol w:w="1064"/>
        <w:gridCol w:w="1559"/>
        <w:gridCol w:w="1985"/>
        <w:tblGridChange w:id="0">
          <w:tblGrid>
            <w:gridCol w:w="426"/>
            <w:gridCol w:w="2091"/>
            <w:gridCol w:w="709"/>
            <w:gridCol w:w="1629"/>
            <w:gridCol w:w="1064"/>
            <w:gridCol w:w="1559"/>
            <w:gridCol w:w="1985"/>
          </w:tblGrid>
        </w:tblGridChange>
      </w:tblGrid>
      <w:tr>
        <w:trPr>
          <w:cantSplit w:val="0"/>
          <w:trHeight w:val="8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tabs>
                <w:tab w:val="left" w:leader="none" w:pos="-72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tabs>
                <w:tab w:val="left" w:leader="none" w:pos="-72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Вид расхода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tabs>
                <w:tab w:val="left" w:leader="none" w:pos="-72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Кол-во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tabs>
                <w:tab w:val="left" w:leader="none" w:pos="-72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Цена за единицу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tabs>
                <w:tab w:val="left" w:leader="none" w:pos="-72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Общая сумма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tabs>
                <w:tab w:val="left" w:leader="none" w:pos="-72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Собственный вклад/софинансирование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tabs>
                <w:tab w:val="left" w:leader="none" w:pos="-72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Запрашиваемое финансирование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tabs>
                <w:tab w:val="left" w:leader="none" w:pos="-72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tabs>
                <w:tab w:val="left" w:leader="none" w:pos="-72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tabs>
                <w:tab w:val="left" w:leader="none" w:pos="-72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tabs>
                <w:tab w:val="left" w:leader="none" w:pos="-72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tabs>
                <w:tab w:val="left" w:leader="none" w:pos="-72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tabs>
                <w:tab w:val="left" w:leader="none" w:pos="-720"/>
              </w:tabs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ИТОГО ПО ПРОЕКТУ: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tabs>
          <w:tab w:val="left" w:leader="none" w:pos="-720"/>
        </w:tabs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8.0" w:type="dxa"/>
        <w:jc w:val="left"/>
        <w:tblInd w:w="-115.0" w:type="dxa"/>
        <w:tblLayout w:type="fixed"/>
        <w:tblLook w:val="0000"/>
      </w:tblPr>
      <w:tblGrid>
        <w:gridCol w:w="5670"/>
        <w:gridCol w:w="3828"/>
        <w:tblGridChange w:id="0">
          <w:tblGrid>
            <w:gridCol w:w="5670"/>
            <w:gridCol w:w="3828"/>
          </w:tblGrid>
        </w:tblGridChange>
      </w:tblGrid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tabs>
                <w:tab w:val="left" w:leader="none" w:pos="-720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Подпись и печать руководителя организации/ </w:t>
            </w:r>
          </w:p>
          <w:p w:rsidR="00000000" w:rsidDel="00000000" w:rsidP="00000000" w:rsidRDefault="00000000" w:rsidRPr="00000000" w14:paraId="00000111">
            <w:pPr>
              <w:tabs>
                <w:tab w:val="left" w:leader="none" w:pos="-720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Подпись руководителя инициативной группы</w:t>
            </w:r>
          </w:p>
        </w:tc>
        <w:tc>
          <w:tcPr/>
          <w:p w:rsidR="00000000" w:rsidDel="00000000" w:rsidP="00000000" w:rsidRDefault="00000000" w:rsidRPr="00000000" w14:paraId="00000112">
            <w:pPr>
              <w:tabs>
                <w:tab w:val="left" w:leader="none" w:pos="-720"/>
              </w:tabs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98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Дата____________</w:t>
            </w:r>
          </w:p>
        </w:tc>
        <w:tc>
          <w:tcPr/>
          <w:p w:rsidR="00000000" w:rsidDel="00000000" w:rsidP="00000000" w:rsidRDefault="00000000" w:rsidRPr="00000000" w14:paraId="00000115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</w:t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-720"/>
              </w:tabs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________________/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ФИО 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Open San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i w:val="0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7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284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365f91" w:space="1" w:sz="12" w:val="single"/>
      </w:pBdr>
      <w:spacing w:after="80" w:before="240" w:line="240" w:lineRule="auto"/>
    </w:pPr>
    <w:rPr>
      <w:rFonts w:ascii="Calibri" w:cs="Calibri" w:eastAsia="Calibri" w:hAnsi="Calibri"/>
      <w:b w:val="1"/>
      <w:color w:val="365f9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ankdo.smorodina@mail.ru" TargetMode="Externa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